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3F" w:rsidRPr="00EB633F" w:rsidRDefault="00EB633F" w:rsidP="00EB6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3F">
        <w:rPr>
          <w:rFonts w:ascii="Times New Roman" w:hAnsi="Times New Roman" w:cs="Times New Roman"/>
          <w:b/>
          <w:sz w:val="28"/>
          <w:szCs w:val="28"/>
        </w:rPr>
        <w:t>О социальном налоговом вычете в связи с обучением в образовательных организациях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 В соответствии с пунктом 2 статьи 219 Налогового кодекса Российской Федерации гражданин, обучающийся в образовательных организациях, может получить социальный налоговый вычет в размере фактически произведенных расходов на обучение, с уч</w:t>
      </w:r>
      <w:r>
        <w:rPr>
          <w:rFonts w:ascii="Times New Roman" w:hAnsi="Times New Roman" w:cs="Times New Roman"/>
          <w:sz w:val="28"/>
          <w:szCs w:val="28"/>
        </w:rPr>
        <w:t>етом установленных ограничений.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Также претендовать на получение данного вычета могут налогоплательщики-родители за обучение своих детей в возрасте до 24 лет, налогоплательщики-опекуны (налогоплательщики-попечители) за обучение своих подопечных в возрасте до 18 лет по очной форме обучения в организациях,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Размер социального налогового вычета в данном случае складывается из фактически произведенных расходов на это обучение, но не более 110 000 рублей на каждого ребенка в общей сумме на обоих родителей (опекуна или по</w:t>
      </w:r>
      <w:r>
        <w:rPr>
          <w:rFonts w:ascii="Times New Roman" w:hAnsi="Times New Roman" w:cs="Times New Roman"/>
          <w:sz w:val="28"/>
          <w:szCs w:val="28"/>
        </w:rPr>
        <w:t>печителя).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Право на получение указанного социального налогового вычета распространяется также на налогоплательщика - брата (сестру) обучающегося в случаях оплаты налогоплательщиком обучения брата (сестры) в возрасте до 24 лет по очной форме обучения в организациях,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Названное право также предоставлено налогоплательщику - супругу (супругу) обучающегося в случаях оплаты налогоплательщиком обучения супруга (супруги) по очной форме обучения в организациях,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деятельность.</w:t>
      </w:r>
    </w:p>
    <w:p w:rsidR="00F42336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Изменения введены Федеральным законом от 31.07.2023 № 389-ФЗ и вступили в силу 01.01.2024.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Pr="00EB633F" w:rsidRDefault="00EB633F" w:rsidP="00EB6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3F">
        <w:rPr>
          <w:rFonts w:ascii="Times New Roman" w:hAnsi="Times New Roman" w:cs="Times New Roman"/>
          <w:b/>
          <w:sz w:val="28"/>
          <w:szCs w:val="28"/>
        </w:rPr>
        <w:lastRenderedPageBreak/>
        <w:t>Федеральным законом от 14.02.2024 № 11-ФЗ дополнен перечень преступлений, за совершение которых предусмотрена конфискация имущества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Федеральным законом от 14.02.2024 № 11-ФЗ «О внесении изменений в Уголовный кодекс Российской Федерации и Уголовно-процессуальный кодекс Российской Федерации» дополнен перечень преступлений, за которые предусмотрена конфискация имущества.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С 25.02.2024 на основании обвинительного приговора могут быть принудительно безвозмездно изъяты и обращены в доход государства деньги, ценности и иное имущество, полученное в результате совершения следующих преступлений, если они совершены из корыстных побуждений: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- 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полномочий, оказании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 (ст. 207.3 УК РФ);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- публичные призывы к осуществлению деятельности, направленной против безопасности государства (ст. 280.4 УК РФ).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 Также с указанной даты могут быть конфискованы деньги, ценности и иное имущество, используемые или предназначенные для финансирования деятельности, направленной против безопасности Российской Федерации.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>При этом под деятельностью, направленной против безопасности Российской Федерации, понимается совершение хотя бы одного из преступлений, предусмотренных статьями 189, 200.1, 209, 210, 222 - 223.1, 226, 226.1, 229.1, 274.1, 275 - 276, 281 - 281.3, 283, 283.1, 284.1, 284.3, 290, 291, 322, 322.1, 323, 332, 338, 355 - 357, 359 Уголовного кодекса Российской Федерации.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Pr="00EB633F" w:rsidRDefault="00EB633F" w:rsidP="00EB6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3F">
        <w:rPr>
          <w:rFonts w:ascii="Times New Roman" w:hAnsi="Times New Roman" w:cs="Times New Roman"/>
          <w:b/>
          <w:sz w:val="28"/>
          <w:szCs w:val="28"/>
        </w:rPr>
        <w:t>Осторожно: телефонные мошенники!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Хищения имущества, совершаемые с использованием средств мобильной связи, так называемые телефонные мошенничества, в последние годы приобрели масштабный характер и получили широкий общественный резонанс.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Ежегодно совершается множество преступлений, связанных с хищением денежных средств граждан с использованием средств мобильной связи.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Мошенники умело используют всю доступную информацию и технологии, достаточно хорошо разбираются в психологии людей, вынуждая жертву раскрывать всю информацию о себе либо совершать те или иные действия.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Выбирая способы совершения преступлений, злоумышленники используют те болевые точки, которые больше всего волнуют людей - беспокойство за близких родственников, за свой телефонный номер, за счет в банке или кредитную карту, желание выиграть крупный приз, любопытство - желание получить доступ к SMS и звонкам других людей.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Самый распространенный вид телефонного мошенничества - так называемый случай с родственниками. Мошенник представляется родственником или знакомым, взволнованно сообщает о том, что задержан правоохранительными органами. Причины называются различные: совершил дорожно-транспортное нарушение, или у него нашли наркотики, или он причинил в ходе возникшего конфликта телесные повреждения, но при этом есть возможность за деньги «решить вопрос». Деньги необходимо привезти в определенное место и передать доверенному человеку.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В другом случае абонент получает на мобильный телефон сообщение: «У меня проблемы, позвони по такому-то номеру, положи определенную сумму денег. Потом все объясню».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Еще одним распространенным способом телефонного мошенничества является так называемое хищение от имени банка. Абоненту приходит сообщение о том, что его банковская карта заблокирована, и дается номер для справки. Когда владелец карты по нему звонит, ему сообщают о том, что произошел электронный сбой, и, чтобы банковскую карту разблокировать, просят сообщить ее номер и </w:t>
      </w:r>
      <w:proofErr w:type="spellStart"/>
      <w:r w:rsidRPr="00EB633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EB633F">
        <w:rPr>
          <w:rFonts w:ascii="Times New Roman" w:hAnsi="Times New Roman" w:cs="Times New Roman"/>
          <w:sz w:val="28"/>
          <w:szCs w:val="28"/>
        </w:rPr>
        <w:t xml:space="preserve">-код. После этого злоумышленники легко снимают деньги со счета. 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3F">
        <w:rPr>
          <w:rFonts w:ascii="Times New Roman" w:hAnsi="Times New Roman" w:cs="Times New Roman"/>
          <w:sz w:val="28"/>
          <w:szCs w:val="28"/>
        </w:rPr>
        <w:t xml:space="preserve">Существует множество иных способов телефонного мошенничества. Это и «платный код», когда абоненту поступает звонок якобы от оператора мобильной связи с предложением подключить новую услугу и для этого предлагается набрать под диктовку код, который в действительности является комбинацией для перевода денег со счета абонента на счет мошенников; «ошибочный перевод средств», когда абоненту приходит </w:t>
      </w:r>
      <w:proofErr w:type="spellStart"/>
      <w:r w:rsidRPr="00EB633F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EB633F">
        <w:rPr>
          <w:rFonts w:ascii="Times New Roman" w:hAnsi="Times New Roman" w:cs="Times New Roman"/>
          <w:sz w:val="28"/>
          <w:szCs w:val="28"/>
        </w:rPr>
        <w:t xml:space="preserve">-сообщение, что на его счет пришли деньги с помощью услуги «мобильный перевод», и тут же поступает звонок и абонента просят вернуть сумму обратно тем же «мобильным переводом»; «розыгрыш призов», когда абонента поздравляют с </w:t>
      </w:r>
      <w:r w:rsidRPr="00EB633F">
        <w:rPr>
          <w:rFonts w:ascii="Times New Roman" w:hAnsi="Times New Roman" w:cs="Times New Roman"/>
          <w:sz w:val="28"/>
          <w:szCs w:val="28"/>
        </w:rPr>
        <w:lastRenderedPageBreak/>
        <w:t>крупным выигрышем в лотерее, а затем предлагают активировать карты экспресс-оплаты и назвать оператору коды.</w:t>
      </w: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3F" w:rsidRDefault="00EB633F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Pr="003C1CF6" w:rsidRDefault="003C1CF6" w:rsidP="003C1C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F6">
        <w:rPr>
          <w:rFonts w:ascii="Times New Roman" w:hAnsi="Times New Roman" w:cs="Times New Roman"/>
          <w:b/>
          <w:sz w:val="28"/>
          <w:szCs w:val="28"/>
        </w:rPr>
        <w:lastRenderedPageBreak/>
        <w:t>Законные представители несовершеннолетних обязаны обеспечить их безопасность на дорогах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В настоящее время большое внимание уделяется проблеме детского до</w:t>
      </w:r>
      <w:r>
        <w:rPr>
          <w:rFonts w:ascii="Times New Roman" w:hAnsi="Times New Roman" w:cs="Times New Roman"/>
          <w:sz w:val="28"/>
          <w:szCs w:val="28"/>
        </w:rPr>
        <w:t>рожно-транспортного травматизма.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При рассмотрении каждого дорожно-транспортного происшествия с участием несовершеннолетних сотрудниками полиции устанавливаются причины его совершения, а также факторы, сопутствующие происшествию, дается оценка дейст</w:t>
      </w:r>
      <w:r>
        <w:rPr>
          <w:rFonts w:ascii="Times New Roman" w:hAnsi="Times New Roman" w:cs="Times New Roman"/>
          <w:sz w:val="28"/>
          <w:szCs w:val="28"/>
        </w:rPr>
        <w:t>виям или бездействию родителей.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предусмотрена административная ответственность за неисполнение родителями или иными законными представителями несовершеннолетних обязанностей по содержанию </w:t>
      </w:r>
      <w:r>
        <w:rPr>
          <w:rFonts w:ascii="Times New Roman" w:hAnsi="Times New Roman" w:cs="Times New Roman"/>
          <w:sz w:val="28"/>
          <w:szCs w:val="28"/>
        </w:rPr>
        <w:t>и воспитанию несовершеннолетних.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 xml:space="preserve"> Кроме того, за нарушения Правил дорожного движения Российской Федерации, в зависимости от степени и формы вины, наличия и характера вредоносных последствий, может наступить административная, уголовная</w:t>
      </w:r>
      <w:r>
        <w:rPr>
          <w:rFonts w:ascii="Times New Roman" w:hAnsi="Times New Roman" w:cs="Times New Roman"/>
          <w:sz w:val="28"/>
          <w:szCs w:val="28"/>
        </w:rPr>
        <w:t xml:space="preserve"> и гражданская ответственность.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В соответствии со ст. 1074 Гражданского кодекса Российской Федерации несовершеннолетние в возрасте от 14 до 18 лет самостоятельно несут ответственность за причиненный вред.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или и</w:t>
      </w:r>
      <w:r>
        <w:rPr>
          <w:rFonts w:ascii="Times New Roman" w:hAnsi="Times New Roman" w:cs="Times New Roman"/>
          <w:sz w:val="28"/>
          <w:szCs w:val="28"/>
        </w:rPr>
        <w:t>ными законными представителями.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Законным представителям несовершеннолетних рекомендуется формировать у детей навыки обеспечения безопасности на дороге путем разъяснения ребенку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CF6" w:rsidRPr="003C1CF6" w:rsidRDefault="003C1CF6" w:rsidP="003C1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C1CF6">
        <w:rPr>
          <w:rFonts w:ascii="Times New Roman" w:hAnsi="Times New Roman" w:cs="Times New Roman"/>
          <w:b/>
          <w:bCs/>
          <w:sz w:val="28"/>
          <w:szCs w:val="28"/>
        </w:rPr>
        <w:t>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в целях подрыва экономической безопасности и (или) обороноспособности Российской Федерации.</w:t>
      </w:r>
    </w:p>
    <w:p w:rsidR="003C1CF6" w:rsidRPr="003C1CF6" w:rsidRDefault="003C1CF6" w:rsidP="003C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Статьей 281 Уголовного кодекса Российской Федерации предусмотрена уголовная ответственность за совершение диверсии.</w:t>
      </w:r>
    </w:p>
    <w:p w:rsidR="003C1CF6" w:rsidRPr="003C1CF6" w:rsidRDefault="003C1CF6" w:rsidP="003C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:rsidR="003C1CF6" w:rsidRPr="003C1CF6" w:rsidRDefault="003C1CF6" w:rsidP="003C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Те же деяния: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3C1CF6" w:rsidRPr="003C1CF6" w:rsidRDefault="007535B4" w:rsidP="003C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>Деяния,</w:t>
      </w:r>
      <w:r w:rsidR="003C1CF6" w:rsidRPr="003C1CF6">
        <w:rPr>
          <w:rFonts w:ascii="Times New Roman" w:hAnsi="Times New Roman" w:cs="Times New Roman"/>
          <w:sz w:val="28"/>
          <w:szCs w:val="28"/>
        </w:rPr>
        <w:t xml:space="preserve">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3C1CF6" w:rsidRPr="003C1CF6" w:rsidRDefault="003C1CF6" w:rsidP="003C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6">
        <w:rPr>
          <w:rFonts w:ascii="Times New Roman" w:hAnsi="Times New Roman" w:cs="Times New Roman"/>
          <w:sz w:val="28"/>
          <w:szCs w:val="28"/>
        </w:rPr>
        <w:t xml:space="preserve"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</w:t>
      </w:r>
      <w:r w:rsidR="007535B4" w:rsidRPr="003C1CF6">
        <w:rPr>
          <w:rFonts w:ascii="Times New Roman" w:hAnsi="Times New Roman" w:cs="Times New Roman"/>
          <w:sz w:val="28"/>
          <w:szCs w:val="28"/>
        </w:rPr>
        <w:t>иного дохода,</w:t>
      </w:r>
      <w:r w:rsidRPr="003C1CF6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четырех лет либо без такового или пожизненным лишением свободы.</w:t>
      </w:r>
    </w:p>
    <w:p w:rsidR="003C1CF6" w:rsidRDefault="003C1CF6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B4" w:rsidRDefault="007535B4" w:rsidP="00753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5B4">
        <w:rPr>
          <w:rFonts w:ascii="Times New Roman" w:hAnsi="Times New Roman" w:cs="Times New Roman"/>
          <w:b/>
          <w:sz w:val="28"/>
          <w:szCs w:val="28"/>
        </w:rPr>
        <w:lastRenderedPageBreak/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</w:t>
      </w:r>
    </w:p>
    <w:p w:rsidR="007535B4" w:rsidRPr="007535B4" w:rsidRDefault="007535B4" w:rsidP="00753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535B4" w:rsidRPr="007535B4" w:rsidRDefault="007535B4" w:rsidP="00753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B4">
        <w:rPr>
          <w:rFonts w:ascii="Times New Roman" w:hAnsi="Times New Roman" w:cs="Times New Roman"/>
          <w:sz w:val="28"/>
          <w:szCs w:val="28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7535B4" w:rsidRPr="00EB633F" w:rsidRDefault="007535B4" w:rsidP="00EB6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5B4" w:rsidRPr="00EB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D3"/>
    <w:rsid w:val="003C1CF6"/>
    <w:rsid w:val="007535B4"/>
    <w:rsid w:val="00B05FD3"/>
    <w:rsid w:val="00EB633F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BFFB"/>
  <w15:chartTrackingRefBased/>
  <w15:docId w15:val="{618DEEFA-23C9-4284-8FEF-2B86D644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Эрдниева Гиляна Витальевна</dc:creator>
  <cp:keywords/>
  <dc:description/>
  <cp:lastModifiedBy>Эрдниева Гиляна Витальевна</cp:lastModifiedBy>
  <cp:revision>4</cp:revision>
  <dcterms:created xsi:type="dcterms:W3CDTF">2024-06-12T13:25:00Z</dcterms:created>
  <dcterms:modified xsi:type="dcterms:W3CDTF">2024-06-14T13:55:00Z</dcterms:modified>
</cp:coreProperties>
</file>